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B596A" w14:textId="77777777" w:rsidR="002A5D37" w:rsidRPr="000E0FC1" w:rsidRDefault="002A5D37" w:rsidP="000E0FC1">
      <w:pPr>
        <w:spacing w:line="360" w:lineRule="auto"/>
        <w:ind w:left="-1134" w:right="-113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ESCLARECIMENTO</w:t>
      </w:r>
    </w:p>
    <w:p w14:paraId="1FB1F15B" w14:textId="67B10996" w:rsidR="002A5D37" w:rsidRPr="000E0FC1" w:rsidRDefault="002A5D37" w:rsidP="00C4418A">
      <w:pPr>
        <w:pStyle w:val="Default"/>
        <w:spacing w:line="360" w:lineRule="auto"/>
        <w:ind w:left="-1134" w:right="-1134"/>
        <w:contextualSpacing/>
        <w:jc w:val="both"/>
        <w:rPr>
          <w:b/>
          <w:color w:val="000000" w:themeColor="text1"/>
        </w:rPr>
      </w:pPr>
      <w:r w:rsidRPr="000E0FC1">
        <w:rPr>
          <w:b/>
          <w:color w:val="000000" w:themeColor="text1"/>
        </w:rPr>
        <w:t xml:space="preserve">Ao setor de Licitação da </w:t>
      </w:r>
      <w:r w:rsidR="004912D8" w:rsidRPr="000E0FC1">
        <w:rPr>
          <w:b/>
          <w:color w:val="000000" w:themeColor="text1"/>
        </w:rPr>
        <w:t>Prefeitura Municipal</w:t>
      </w:r>
      <w:r w:rsidR="005961FE" w:rsidRPr="000E0FC1">
        <w:rPr>
          <w:b/>
          <w:bCs/>
          <w:iCs/>
          <w:color w:val="000000" w:themeColor="text1"/>
        </w:rPr>
        <w:t xml:space="preserve"> </w:t>
      </w:r>
      <w:r w:rsidR="00FA39CB" w:rsidRPr="000E0FC1">
        <w:rPr>
          <w:b/>
          <w:bCs/>
          <w:iCs/>
          <w:color w:val="000000" w:themeColor="text1"/>
        </w:rPr>
        <w:t>Nova Friburgo:</w:t>
      </w:r>
    </w:p>
    <w:p w14:paraId="0884EC3B" w14:textId="77777777" w:rsidR="002A5D37" w:rsidRPr="000E0FC1" w:rsidRDefault="002A5D37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0FC1">
        <w:rPr>
          <w:rFonts w:ascii="Times New Roman" w:hAnsi="Times New Roman" w:cs="Times New Roman"/>
          <w:color w:val="000000" w:themeColor="text1"/>
          <w:sz w:val="24"/>
          <w:szCs w:val="24"/>
        </w:rPr>
        <w:t>Sr. Pregoeiro (a) e equipe de apoio, venho por meio deste solicitar esclarecimento do</w:t>
      </w:r>
    </w:p>
    <w:p w14:paraId="6E675871" w14:textId="559E075C" w:rsidR="002A5D37" w:rsidRPr="000E0FC1" w:rsidRDefault="002A5D37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Pregão </w:t>
      </w:r>
      <w:r w:rsidR="00FB60A0"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Eletrônico</w:t>
      </w:r>
      <w:r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A39CB" w:rsidRPr="000E0FC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103</w:t>
      </w:r>
      <w:r w:rsidR="00F911C1" w:rsidRPr="000E0FC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/2023</w:t>
      </w:r>
    </w:p>
    <w:p w14:paraId="4652B68E" w14:textId="1011B75A" w:rsidR="00FA39CB" w:rsidRPr="000E0FC1" w:rsidRDefault="004059C4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Esclarecimento 1: Referente ao </w:t>
      </w:r>
      <w:r w:rsidR="000E0FC1"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item </w:t>
      </w:r>
      <w:r w:rsidR="000E26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20.5 do Edital</w:t>
      </w:r>
    </w:p>
    <w:p w14:paraId="3FCE5E1B" w14:textId="77777777" w:rsidR="00C4418A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1C32845" w14:textId="22B9751B" w:rsidR="000E26FF" w:rsidRDefault="000E26FF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0E26F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20.5 - Cópia da Autorização de Funcionamento - AFE, pertinente ao objeto licitado, contendo</w:t>
      </w:r>
      <w:r w:rsidRPr="000E26F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0E26F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 número de Registro do Ministério da Saúde ou cópia do Diário Oficial da União, expedida pela</w:t>
      </w:r>
      <w:r w:rsidRPr="000E26F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0E26F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ANVISA, legível, devendo ser destacada a informação referente à empresa, conforme artigo 2º</w:t>
      </w:r>
      <w:r w:rsidRPr="000E26F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0E26F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da Lei Federal nº 6.360/76 e artigo 3º da Resolução RCD nº 16/2014.</w:t>
      </w:r>
    </w:p>
    <w:p w14:paraId="1C922414" w14:textId="77777777" w:rsidR="00C4418A" w:rsidRPr="000E26FF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81C2C48" w14:textId="403D35CD" w:rsidR="000E26FF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E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Sobre esta exigência do Edital, as Empresas que fornecem alimentos não são obrigadas e não têm a opção de obter esta autorização de funcionamento pela ANVISA. Conforme documento em anexo, a autorização de funcionamento somente é necessária quando há distribuição de medicamentos. Tal disposição está no site da ANVISA </w:t>
      </w:r>
      <w:proofErr w:type="gramStart"/>
      <w:r w:rsidR="000E26FF">
        <w:rPr>
          <w:rFonts w:ascii="Times New Roman" w:hAnsi="Times New Roman" w:cs="Times New Roman"/>
          <w:color w:val="000000" w:themeColor="text1"/>
          <w:sz w:val="24"/>
          <w:szCs w:val="24"/>
        </w:rPr>
        <w:t>e também</w:t>
      </w:r>
      <w:proofErr w:type="gramEnd"/>
      <w:r w:rsidR="000E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Resolução RCD n° 16/2014</w:t>
      </w:r>
      <w:r w:rsidR="000E26FF">
        <w:rPr>
          <w:rStyle w:val="Refdenotaderodap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0E26F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709E4E" w14:textId="4A31A928" w:rsidR="000E26FF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E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Portanto, as empresas que participarão do certame concorrendo na disputa para venda de produtos alimentares não devem ser impedidas de participar por um documento que não é obrigatório e nem é possível que seja emitido. </w:t>
      </w:r>
    </w:p>
    <w:p w14:paraId="32D6DF86" w14:textId="64A4AAD7" w:rsidR="000E26FF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E2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Paralelamente, é possível que Empresas distribuam alimentos e medicamentos, o que faria com que tais Empresas possuam a AFE. Todavia, este fato por si só não justificaria a exclusão das demais empresas, visto que diminuiria a concorrência do certame e, por consectário lógico, indo de encontro ao interesse público de melhor preço, sendo ilegal. </w:t>
      </w:r>
    </w:p>
    <w:p w14:paraId="0408CF51" w14:textId="77777777" w:rsidR="00C4418A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4D6D63" w14:textId="77777777" w:rsidR="00C4418A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</w:t>
      </w:r>
      <w:r w:rsidR="000E26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sclarecimento 2: </w:t>
      </w:r>
    </w:p>
    <w:p w14:paraId="53D6BD30" w14:textId="77777777" w:rsidR="00C4418A" w:rsidRDefault="00783939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8393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6.1.4 Um licitante, ou grupo, suas filiais ou empresas que fazem parte de um grupo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8393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econômico ou financeiro, somente poderá apresentar uma única proposta de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8393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preços. Caso um licitante participe em mais de uma proposta de preços, estas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8393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propostas não serão levadas em consideração e serão rejeitadas.</w:t>
      </w:r>
    </w:p>
    <w:p w14:paraId="7E913573" w14:textId="27E0D8CE" w:rsidR="00783939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939">
        <w:rPr>
          <w:rFonts w:ascii="Times New Roman" w:hAnsi="Times New Roman" w:cs="Times New Roman"/>
          <w:color w:val="000000" w:themeColor="text1"/>
          <w:sz w:val="24"/>
          <w:szCs w:val="24"/>
        </w:rPr>
        <w:t>Sobre esta exigência do Edital, há um entendimento do Tribunal de Contas da União</w:t>
      </w:r>
      <w:r w:rsidR="00783939">
        <w:rPr>
          <w:rStyle w:val="Refdenotaderodap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="00783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permite que empresas do mesmo grupo econômico participem da mesma licitação, não sendo a participação conjunta, por si só, evidência de fraude em licitações. </w:t>
      </w:r>
    </w:p>
    <w:p w14:paraId="5C590FA9" w14:textId="08CF2A31" w:rsidR="00783939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caso da Empresa, há um parentesco societário, sendo empresas do mesmo grupo econômico, mas as Empresas pretendem participar em lotes diferentes de produtos, de modo que sequer concorrerão entre si. </w:t>
      </w:r>
    </w:p>
    <w:p w14:paraId="26DE3290" w14:textId="77777777" w:rsidR="00C4418A" w:rsidRDefault="00C4418A" w:rsidP="00C4418A">
      <w:pPr>
        <w:spacing w:line="360" w:lineRule="auto"/>
        <w:ind w:left="-1134" w:right="-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Isto porque a vedação contida no art. 9° da Lei de Licitações não abarca a situação contida no item 6.1.4 acima transcrito. </w:t>
      </w:r>
    </w:p>
    <w:p w14:paraId="07F10B78" w14:textId="0A965A94" w:rsidR="004059C4" w:rsidRPr="000E0FC1" w:rsidRDefault="00C4418A" w:rsidP="00C4418A">
      <w:pPr>
        <w:spacing w:line="360" w:lineRule="auto"/>
        <w:ind w:left="-1134" w:right="-1134"/>
        <w:contextualSpacing/>
        <w:jc w:val="both"/>
        <w:rPr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Desta forma,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pedimos a esta Comissão de Pregão para que deixe esclarecida a possibilidade, pelo menos, de Empresas do mesmo grupo econômico estarem habilitadas para participação em lotes diferentes e que não se comunicam entre si, nos termos da orientação do Tribunal de Contas da União. </w:t>
      </w:r>
    </w:p>
    <w:p w14:paraId="576DBD57" w14:textId="2BC88615" w:rsidR="001652F0" w:rsidRPr="000E0FC1" w:rsidRDefault="005D24F1" w:rsidP="000E0FC1">
      <w:pPr>
        <w:pStyle w:val="Default"/>
        <w:tabs>
          <w:tab w:val="left" w:pos="8327"/>
        </w:tabs>
        <w:spacing w:line="360" w:lineRule="auto"/>
        <w:ind w:left="-1134" w:right="-1135"/>
        <w:jc w:val="both"/>
        <w:rPr>
          <w:b/>
          <w:noProof/>
          <w:color w:val="000000" w:themeColor="text1"/>
          <w:lang w:eastAsia="pt-BR"/>
        </w:rPr>
      </w:pPr>
      <w:r>
        <w:rPr>
          <w:b/>
          <w:color w:val="000000" w:themeColor="text1"/>
        </w:rPr>
        <w:t xml:space="preserve">         </w:t>
      </w:r>
      <w:r w:rsidR="001652F0" w:rsidRPr="000E0FC1">
        <w:rPr>
          <w:b/>
          <w:color w:val="000000" w:themeColor="text1"/>
        </w:rPr>
        <w:t xml:space="preserve">          </w:t>
      </w:r>
      <w:r w:rsidR="00F031D7" w:rsidRPr="000E0FC1">
        <w:rPr>
          <w:b/>
          <w:color w:val="000000" w:themeColor="text1"/>
        </w:rPr>
        <w:t xml:space="preserve">                               </w:t>
      </w:r>
      <w:r w:rsidR="001652F0" w:rsidRPr="000E0FC1">
        <w:rPr>
          <w:b/>
          <w:color w:val="000000" w:themeColor="text1"/>
        </w:rPr>
        <w:t xml:space="preserve">     </w:t>
      </w:r>
      <w:r w:rsidR="007837EC" w:rsidRPr="000E0FC1">
        <w:rPr>
          <w:b/>
          <w:color w:val="000000" w:themeColor="text1"/>
        </w:rPr>
        <w:tab/>
      </w:r>
    </w:p>
    <w:p w14:paraId="621E925E" w14:textId="77777777" w:rsidR="001652F0" w:rsidRPr="000E0FC1" w:rsidRDefault="001652F0" w:rsidP="000E0FC1">
      <w:pPr>
        <w:pStyle w:val="Default"/>
        <w:spacing w:line="360" w:lineRule="auto"/>
        <w:ind w:left="-1134" w:right="-1135"/>
        <w:jc w:val="both"/>
        <w:rPr>
          <w:b/>
          <w:color w:val="000000" w:themeColor="text1"/>
        </w:rPr>
      </w:pPr>
    </w:p>
    <w:p w14:paraId="3301C82D" w14:textId="34ABF131" w:rsidR="00674813" w:rsidRPr="000E0FC1" w:rsidRDefault="00674813" w:rsidP="000E0FC1">
      <w:pPr>
        <w:spacing w:line="360" w:lineRule="auto"/>
        <w:ind w:left="-1134" w:right="-11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Muriaé – MG, </w:t>
      </w:r>
      <w:r w:rsidR="000E0FC1"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C441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0E0FC1"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 julho</w:t>
      </w:r>
      <w:r w:rsidR="003A44A8"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</w:t>
      </w:r>
      <w:r w:rsidRPr="000E0F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2023.</w:t>
      </w:r>
    </w:p>
    <w:p w14:paraId="66693745" w14:textId="77777777" w:rsidR="00141557" w:rsidRDefault="00141557" w:rsidP="000E0FC1">
      <w:pPr>
        <w:spacing w:line="360" w:lineRule="auto"/>
      </w:pPr>
    </w:p>
    <w:p w14:paraId="02B2567D" w14:textId="46CCA24E" w:rsidR="00141557" w:rsidRDefault="00141557" w:rsidP="000E0FC1">
      <w:pPr>
        <w:spacing w:line="360" w:lineRule="auto"/>
      </w:pPr>
    </w:p>
    <w:sectPr w:rsidR="00141557" w:rsidSect="005961FE">
      <w:headerReference w:type="default" r:id="rId8"/>
      <w:footerReference w:type="even" r:id="rId9"/>
      <w:footerReference w:type="default" r:id="rId10"/>
      <w:pgSz w:w="11906" w:h="16838"/>
      <w:pgMar w:top="1417" w:right="170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1A748" w14:textId="77777777" w:rsidR="000A2FCE" w:rsidRDefault="000A2FCE" w:rsidP="00A37DD0">
      <w:pPr>
        <w:spacing w:after="0" w:line="240" w:lineRule="auto"/>
      </w:pPr>
      <w:r>
        <w:separator/>
      </w:r>
    </w:p>
  </w:endnote>
  <w:endnote w:type="continuationSeparator" w:id="0">
    <w:p w14:paraId="08DF784A" w14:textId="77777777" w:rsidR="000A2FCE" w:rsidRDefault="000A2FCE" w:rsidP="00A3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C1E2" w14:textId="77777777" w:rsidR="00A37DD0" w:rsidRPr="00A37DD0" w:rsidRDefault="00A37DD0" w:rsidP="00A37DD0">
    <w:pPr>
      <w:pStyle w:val="Rodap"/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5A67E" w14:textId="77777777" w:rsidR="00A37DD0" w:rsidRPr="00A37DD0" w:rsidRDefault="00A37DD0" w:rsidP="00141557">
    <w:pPr>
      <w:pBdr>
        <w:top w:val="thinThickSmallGap" w:sz="24" w:space="3" w:color="00B050"/>
      </w:pBdr>
      <w:spacing w:after="0"/>
      <w:jc w:val="center"/>
      <w:rPr>
        <w:rFonts w:ascii="Times New Roman" w:hAnsi="Times New Roman" w:cs="Times New Roman"/>
        <w:sz w:val="18"/>
      </w:rPr>
    </w:pPr>
    <w:r w:rsidRPr="00A37DD0">
      <w:rPr>
        <w:rFonts w:ascii="Times New Roman" w:hAnsi="Times New Roman" w:cs="Times New Roman"/>
        <w:sz w:val="18"/>
      </w:rPr>
      <w:t>NEW NUTRI COMERCIO DE PRODUTOS NUTRICIONAIS LTDA</w:t>
    </w:r>
  </w:p>
  <w:p w14:paraId="4F310963" w14:textId="77777777" w:rsidR="00A37DD0" w:rsidRPr="00A37DD0" w:rsidRDefault="00A37DD0" w:rsidP="00141557">
    <w:pPr>
      <w:pBdr>
        <w:top w:val="thinThickSmallGap" w:sz="24" w:space="3" w:color="00B050"/>
      </w:pBdr>
      <w:spacing w:after="0"/>
      <w:jc w:val="center"/>
      <w:rPr>
        <w:rFonts w:ascii="Times New Roman" w:hAnsi="Times New Roman" w:cs="Times New Roman"/>
        <w:sz w:val="18"/>
      </w:rPr>
    </w:pPr>
    <w:r w:rsidRPr="00A37DD0">
      <w:rPr>
        <w:rFonts w:ascii="Times New Roman" w:hAnsi="Times New Roman" w:cs="Times New Roman"/>
        <w:sz w:val="18"/>
      </w:rPr>
      <w:t>Rua Presidente Getúlio Vargas, N° 138 –Loja A Barra – Muriaé –MG CEP: 36884-004</w:t>
    </w:r>
  </w:p>
  <w:p w14:paraId="2741FE19" w14:textId="77777777" w:rsidR="00A37DD0" w:rsidRPr="00A37DD0" w:rsidRDefault="00A37DD0" w:rsidP="00141557">
    <w:pPr>
      <w:pBdr>
        <w:top w:val="thinThickSmallGap" w:sz="24" w:space="3" w:color="00B050"/>
      </w:pBdr>
      <w:spacing w:after="0"/>
      <w:jc w:val="center"/>
      <w:rPr>
        <w:rFonts w:ascii="Times New Roman" w:hAnsi="Times New Roman" w:cs="Times New Roman"/>
        <w:sz w:val="18"/>
      </w:rPr>
    </w:pPr>
    <w:r w:rsidRPr="00A37DD0">
      <w:rPr>
        <w:rFonts w:ascii="Times New Roman" w:hAnsi="Times New Roman" w:cs="Times New Roman"/>
        <w:sz w:val="18"/>
      </w:rPr>
      <w:t>CNPJ: 48.683.237/0001-40 I.E: 004489292.00-96 TELEFONE: (32) 3721-9764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32684" w14:textId="77777777" w:rsidR="000A2FCE" w:rsidRDefault="000A2FCE" w:rsidP="00A37DD0">
      <w:pPr>
        <w:spacing w:after="0" w:line="240" w:lineRule="auto"/>
      </w:pPr>
      <w:r>
        <w:separator/>
      </w:r>
    </w:p>
  </w:footnote>
  <w:footnote w:type="continuationSeparator" w:id="0">
    <w:p w14:paraId="2ED47788" w14:textId="77777777" w:rsidR="000A2FCE" w:rsidRDefault="000A2FCE" w:rsidP="00A37DD0">
      <w:pPr>
        <w:spacing w:after="0" w:line="240" w:lineRule="auto"/>
      </w:pPr>
      <w:r>
        <w:continuationSeparator/>
      </w:r>
    </w:p>
  </w:footnote>
  <w:footnote w:id="1">
    <w:p w14:paraId="7BAA39B7" w14:textId="10BB1922" w:rsidR="000E26FF" w:rsidRDefault="000E26FF" w:rsidP="000E26F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>
        <w:t xml:space="preserve">Art. 3º A AFE é exigida de cada empresa que realiza as atividades de armazenamento, distribuição, embalagem, expedição, exportação, extração, </w:t>
      </w:r>
      <w:proofErr w:type="gramStart"/>
      <w:r>
        <w:t xml:space="preserve">fabricação, </w:t>
      </w:r>
      <w:r>
        <w:t xml:space="preserve"> </w:t>
      </w:r>
      <w:r>
        <w:t>fracionamento</w:t>
      </w:r>
      <w:proofErr w:type="gramEnd"/>
      <w:r>
        <w:t xml:space="preserve">, importação, produção, purificação, reembalagem, síntese, transformação e </w:t>
      </w:r>
      <w:r>
        <w:t xml:space="preserve"> </w:t>
      </w:r>
      <w:r>
        <w:t xml:space="preserve">transporte de medicamentos e insumos farmacêuticos destinados a uso humano, </w:t>
      </w:r>
      <w:r>
        <w:t xml:space="preserve"> </w:t>
      </w:r>
      <w:r>
        <w:t xml:space="preserve">cosméticos, produtos de higiene pessoal, perfumes saneantes e envase ou enchimento de gases medicinais. </w:t>
      </w:r>
    </w:p>
    <w:p w14:paraId="34470EF9" w14:textId="7E498BE5" w:rsidR="000E26FF" w:rsidRDefault="000E26FF" w:rsidP="000E26FF">
      <w:pPr>
        <w:pStyle w:val="Textodenotaderodap"/>
        <w:jc w:val="both"/>
      </w:pPr>
      <w:r>
        <w:t xml:space="preserve">Parágrafo único. A AFE é exigida de cada estabelecimento que realiza as </w:t>
      </w:r>
      <w:proofErr w:type="gramStart"/>
      <w:r>
        <w:t xml:space="preserve">atividades </w:t>
      </w:r>
      <w:r>
        <w:t xml:space="preserve"> </w:t>
      </w:r>
      <w:r>
        <w:t>descritas</w:t>
      </w:r>
      <w:proofErr w:type="gramEnd"/>
      <w:r>
        <w:t xml:space="preserve"> no caput com produtos para saúde.</w:t>
      </w:r>
    </w:p>
  </w:footnote>
  <w:footnote w:id="2">
    <w:p w14:paraId="7E2E6ADE" w14:textId="24292D07" w:rsidR="00783939" w:rsidRDefault="00783939" w:rsidP="00783939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83939">
        <w:t>Entendo que tal orientação, inclusive, se qualifica como orientação geral do TCU, nos termos do art. 24, da LINB, pois já é tradicional e já foi publicada nos informativos do Tribunal em mais de uma oportunidade: Não existe vedação legal à participação, no mesmo certame licitatório, de empresas do mesmo grupo econômico ou com sócios em relação de parentesco, embora tal situação possa acarretar quebra de isonomia entre as licitantes. A demonstração de fraude à licitação exige a evidenciação do nexo causal entre a conduta das empresas com sócios em comum ou em relação de parentesco e a frustração dos princípios e dos objetivos da licitação. (Acórdão 2803/2016-Plenário | Relator: ANDRÉ DE CARVALHO. Publicado: Informativo de Licitações e Contratos nº 309 de 22/11/2016. Boletim de Jurisprudência nº 151 de 21/11/2016); A existência de relação de parentesco ou de afinidade familiar entre sócios de distintas empresas ou sócios em comum não permite, por si só, caracterizar como fraude a participação dessas empresas numa mesma licitação, mesmo na modalidade convite. Sem a demonstração da prática de ato com intuito de frustrar ou fraudar o caráter competitivo da licitação, não cabe declarar a inidoneidade de licitante. Boletim de Jurisprudência 217/2018; A existência de sócios comuns em empresas participantes de licitação não constitui, por si só, ilegalidade. Contudo, esse cenário acarreta ao condutor dos certames o dever de diligenciar para evitar fraudes. Acórdão 662/2013-Plenário | Relator: VALMIR CAMPELO; A participação simultânea de empresas com sócios comuns em licitação não afronta a legislação vigente e somente merece ser considerada irregular quando puder alijar do certame outros potenciais participantes, como nos casos de: a) convite; b) contratação por dispensa de licitação; c) existência de relação entre as licitantes e a empresa responsável pela elaboração do projeto executivo; d) contratação de uma das empresas para fiscalizar serviço prestado por outra. Acórdão 526/2013-Plenário | Relator: MARCOS BEMQUERER. Publicado: Informativo de Licitações e Contratos nº 143 A vedação de participação em licitações sob a modalidade concorrência de empresas com sócios comuns é ilícita, apesar de poder constituir indício que, somado a outros, conforme o caso concreto, configure fraude ao certame. Acórdão 2341/2011-Plenário | Relator: AUGUSTO NARDES. Publicado: Informativo de Licitações e Contratos nº 78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C45C7" w14:textId="77777777" w:rsidR="00A37DD0" w:rsidRPr="000D3FC2" w:rsidRDefault="000D3FC2" w:rsidP="000D3FC2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78CCC5" wp14:editId="3D545EA2">
              <wp:simplePos x="0" y="0"/>
              <wp:positionH relativeFrom="column">
                <wp:posOffset>-1003936</wp:posOffset>
              </wp:positionH>
              <wp:positionV relativeFrom="paragraph">
                <wp:posOffset>-344805</wp:posOffset>
              </wp:positionV>
              <wp:extent cx="2695575" cy="70485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95575" cy="704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BF481D" w14:textId="77777777" w:rsidR="000D3FC2" w:rsidRDefault="000D3FC2">
                          <w:r>
                            <w:rPr>
                              <w:noProof/>
                              <w:lang w:eastAsia="pt-BR"/>
                            </w:rPr>
                            <w:drawing>
                              <wp:inline distT="0" distB="0" distL="0" distR="0" wp14:anchorId="1FB0D8E9" wp14:editId="5E7E3836">
                                <wp:extent cx="2033625" cy="654251"/>
                                <wp:effectExtent l="0" t="0" r="5080" b="0"/>
                                <wp:docPr id="11" name="Imagem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Steinfield__1_-removebg-preview.png"/>
                                        <pic:cNvPicPr/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0001" t="39194" r="13517" b="36200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05630" cy="677416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8CCC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79.05pt;margin-top:-27.15pt;width:212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" filled="f" stroked="f" strokeweight=".5pt">
              <v:textbox>
                <w:txbxContent>
                  <w:p w14:paraId="68BF481D" w14:textId="77777777" w:rsidR="000D3FC2" w:rsidRDefault="000D3FC2">
                    <w:r>
                      <w:rPr>
                        <w:noProof/>
                        <w:lang w:eastAsia="pt-BR"/>
                      </w:rPr>
                      <w:drawing>
                        <wp:inline distT="0" distB="0" distL="0" distR="0" wp14:anchorId="1FB0D8E9" wp14:editId="5E7E3836">
                          <wp:extent cx="2033625" cy="654251"/>
                          <wp:effectExtent l="0" t="0" r="5080" b="0"/>
                          <wp:docPr id="11" name="Imagem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Steinfield__1_-removebg-preview.png"/>
                                  <pic:cNvPicPr/>
                                </pic:nvPicPr>
                                <pic:blipFill rotWithShape="1"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0001" t="39194" r="13517" b="36200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2105630" cy="677416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D6D38"/>
    <w:multiLevelType w:val="multilevel"/>
    <w:tmpl w:val="85CA27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891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E32"/>
    <w:rsid w:val="000157DB"/>
    <w:rsid w:val="000A2FCE"/>
    <w:rsid w:val="000C2CE5"/>
    <w:rsid w:val="000D3FC2"/>
    <w:rsid w:val="000E0FC1"/>
    <w:rsid w:val="000E26FF"/>
    <w:rsid w:val="00141557"/>
    <w:rsid w:val="001652F0"/>
    <w:rsid w:val="00185222"/>
    <w:rsid w:val="00223161"/>
    <w:rsid w:val="00224FC6"/>
    <w:rsid w:val="002A5D37"/>
    <w:rsid w:val="002A7480"/>
    <w:rsid w:val="002E5EAC"/>
    <w:rsid w:val="003014FC"/>
    <w:rsid w:val="0031736B"/>
    <w:rsid w:val="00333E4E"/>
    <w:rsid w:val="0039555E"/>
    <w:rsid w:val="003A44A8"/>
    <w:rsid w:val="004059C4"/>
    <w:rsid w:val="00443273"/>
    <w:rsid w:val="00477DB5"/>
    <w:rsid w:val="004912D8"/>
    <w:rsid w:val="004B16DC"/>
    <w:rsid w:val="004C7A7D"/>
    <w:rsid w:val="00586E32"/>
    <w:rsid w:val="005961FE"/>
    <w:rsid w:val="005D24F1"/>
    <w:rsid w:val="005D654F"/>
    <w:rsid w:val="006309F8"/>
    <w:rsid w:val="0066197A"/>
    <w:rsid w:val="00674813"/>
    <w:rsid w:val="0072788C"/>
    <w:rsid w:val="007837EC"/>
    <w:rsid w:val="00783939"/>
    <w:rsid w:val="007A1484"/>
    <w:rsid w:val="007B1BC1"/>
    <w:rsid w:val="007E7523"/>
    <w:rsid w:val="007F1390"/>
    <w:rsid w:val="008C29E8"/>
    <w:rsid w:val="008F23CA"/>
    <w:rsid w:val="009155D6"/>
    <w:rsid w:val="00936BFE"/>
    <w:rsid w:val="00A37DD0"/>
    <w:rsid w:val="00AF454B"/>
    <w:rsid w:val="00B24E7B"/>
    <w:rsid w:val="00B82BF5"/>
    <w:rsid w:val="00C4418A"/>
    <w:rsid w:val="00C57D2D"/>
    <w:rsid w:val="00C657A4"/>
    <w:rsid w:val="00D42CE6"/>
    <w:rsid w:val="00D831AC"/>
    <w:rsid w:val="00DB3874"/>
    <w:rsid w:val="00E147BC"/>
    <w:rsid w:val="00E7185C"/>
    <w:rsid w:val="00E7223E"/>
    <w:rsid w:val="00ED7FEF"/>
    <w:rsid w:val="00F031D7"/>
    <w:rsid w:val="00F11C67"/>
    <w:rsid w:val="00F55B08"/>
    <w:rsid w:val="00F65CAC"/>
    <w:rsid w:val="00F911C1"/>
    <w:rsid w:val="00FA39CB"/>
    <w:rsid w:val="00FB4569"/>
    <w:rsid w:val="00FB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700277"/>
  <w15:chartTrackingRefBased/>
  <w15:docId w15:val="{EFBEF5C0-021E-41B6-8C08-C4643BA2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37D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7DD0"/>
  </w:style>
  <w:style w:type="paragraph" w:styleId="Rodap">
    <w:name w:val="footer"/>
    <w:basedOn w:val="Normal"/>
    <w:link w:val="RodapChar"/>
    <w:uiPriority w:val="99"/>
    <w:unhideWhenUsed/>
    <w:rsid w:val="00A37D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7DD0"/>
  </w:style>
  <w:style w:type="table" w:styleId="Tabelacomgrade">
    <w:name w:val="Table Grid"/>
    <w:basedOn w:val="Tabelanormal"/>
    <w:uiPriority w:val="39"/>
    <w:rsid w:val="00141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7E7523"/>
    <w:rPr>
      <w:color w:val="0563C1" w:themeColor="hyperlink"/>
      <w:u w:val="single"/>
    </w:rPr>
  </w:style>
  <w:style w:type="paragraph" w:customStyle="1" w:styleId="Default">
    <w:name w:val="Default"/>
    <w:rsid w:val="005961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contentpasted1">
    <w:name w:val="x_contentpasted1"/>
    <w:basedOn w:val="Normal"/>
    <w:rsid w:val="00FA3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xcontentpasted11">
    <w:name w:val="x_contentpasted11"/>
    <w:basedOn w:val="Fontepargpadro"/>
    <w:rsid w:val="00FA39CB"/>
  </w:style>
  <w:style w:type="character" w:styleId="Forte">
    <w:name w:val="Strong"/>
    <w:basedOn w:val="Fontepargpadro"/>
    <w:uiPriority w:val="22"/>
    <w:qFormat/>
    <w:rsid w:val="00FA39CB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E26F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E26F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E26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5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FA2C1-D674-482E-AD91-71B503BD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Fernando Augusto Canedo Teixeira</cp:lastModifiedBy>
  <cp:revision>2</cp:revision>
  <cp:lastPrinted>2023-06-20T13:37:00Z</cp:lastPrinted>
  <dcterms:created xsi:type="dcterms:W3CDTF">2023-07-07T18:41:00Z</dcterms:created>
  <dcterms:modified xsi:type="dcterms:W3CDTF">2023-07-07T18:41:00Z</dcterms:modified>
</cp:coreProperties>
</file>